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48.png" ContentType="image/png"/>
  <Override PartName="/word/media/rId55.png" ContentType="image/png"/>
  <Override PartName="/word/media/rId32.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a</w:t>
      </w:r>
      <w:r>
        <w:t xml:space="preserve"> </w:t>
      </w:r>
      <m:oMath>
        <m:r>
          <m:t>1.6</m:t>
        </m:r>
        <m:r>
          <m:t>−</m:t>
        </m:r>
        <m:sSup>
          <m:e>
            <m:r>
              <m:t>4.3</m:t>
            </m:r>
          </m:e>
          <m:sup>
            <m:r>
              <m:t>∘</m:t>
            </m:r>
          </m:sup>
        </m:sSup>
      </m:oMath>
      <w:r>
        <w:t xml:space="preserve">C above pre-industrial levels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more exposed canopy trees</w:t>
      </w:r>
      <w:r>
        <w:rPr>
          <w:b/>
        </w:rPr>
        <w:t xml:space="preserve"> </w:t>
      </w:r>
      <w:r>
        <w:rPr>
          <w:b/>
        </w:rPr>
        <w:t xml:space="preserve">(Davis</w:t>
      </w:r>
      <w:r>
        <w:rPr>
          <w:b/>
        </w:rPr>
        <w:t xml:space="preserve"> </w:t>
      </w:r>
      <w:r>
        <w:rPr>
          <w:i/>
          <w:b/>
        </w:rPr>
        <w:t xml:space="preserve">et al.</w:t>
      </w:r>
      <w:r>
        <w:rPr>
          <w:b/>
        </w:rPr>
        <w:t xml:space="preserve">, 2019a;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77"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w:t>
      </w:r>
      <w:r>
        <w:t xml:space="preserve"> </w:t>
      </w:r>
      <w:r>
        <w:t xml:space="preserve">(NEON; Figs. 2-S1; Supporting Information Methods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six US forest sites with contrasting forest structures in the National Ecological Observatory Network (NEON). Height profiles from the growing season are shown for: (a) leaf area density, (b) proportion of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six US forest sites with contrasting forest structures in the National Ecological Observatory Network (NEON)</w:t>
      </w:r>
      <w:r>
        <w:t xml:space="preserve">. Height profiles from the growing season are shown for: (a) leaf area density, (b) proportion of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2019b;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rPr>
          <w:b/>
        </w:rP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Figs. 2d, S1, Aussenac, 2000; Chazdon &amp; Fetcher, 1984; Baldocchi</w:t>
      </w:r>
      <w:r>
        <w:t xml:space="preserve"> </w:t>
      </w:r>
      <w:r>
        <w:rPr>
          <w:i/>
        </w:rPr>
        <w:t xml:space="preserve">et al.</w:t>
      </w:r>
      <w:r>
        <w:t xml:space="preserve">, 1997; Smith</w:t>
      </w:r>
      <w:r>
        <w:t xml:space="preserve"> </w:t>
      </w:r>
      <w:r>
        <w:rPr>
          <w:i/>
        </w:rPr>
        <w:t xml:space="preserve">et al.</w:t>
      </w:r>
      <w:r>
        <w:t xml:space="preserve">, 2019b;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buffering effect of the canopy</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 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net radiation (</w:t>
      </w:r>
      <m:oMath>
        <m:sSub>
          <m:e>
            <m:r>
              <m:t>R</m:t>
            </m:r>
          </m:e>
          <m:sub>
            <m:r>
              <m:t>n</m:t>
            </m:r>
          </m:sub>
        </m:sSub>
      </m:oMath>
      <w:r>
        <w:rPr>
          <w:b/>
        </w:rPr>
        <w:t xml:space="preserve">, including shortwave and longwave)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3a).Sensible heat flux between leaf and air is regulated by leaf boundary layer conductance (</w:t>
      </w:r>
      <m:oMath>
        <m:sSub>
          <m:e>
            <m:r>
              <m:t>g</m:t>
            </m:r>
          </m:e>
          <m:sub>
            <m:r>
              <m:t>a</m:t>
            </m:r>
          </m:sub>
        </m:sSub>
      </m:oMath>
      <w:r>
        <w:t xml:space="preserve">), which is greater in smaller leaves (Fig. 3d) and higher wind speeds [Fig. 3b]. Latent heat flux (</w:t>
      </w:r>
      <m:oMath>
        <m:r>
          <m:t>λ</m:t>
        </m:r>
        <m:r>
          <m:t>E</m:t>
        </m:r>
      </m:oMath>
      <w:r>
        <w:t xml:space="preserve">) through transpiration has a strong cooling effect, and is primarily regulated by stomatal conductance (</w:t>
      </w:r>
      <m:oMath>
        <m:sSub>
          <m:e>
            <m:r>
              <m:t>g</m:t>
            </m:r>
          </m:e>
          <m:sub>
            <m:r>
              <m:t>s</m:t>
            </m:r>
          </m:sub>
        </m:sSub>
      </m:oMath>
      <w:r>
        <w:t xml:space="preserve">), but also by RH through a direct effect on the leaf-to-air vapor gradient (Fig. 3c) and an indirect effect on</w:t>
      </w:r>
      <w:r>
        <w:t xml:space="preserve"> </w:t>
      </w:r>
      <m:oMath>
        <m:sSub>
          <m:e>
            <m:r>
              <m:t>g</m:t>
            </m:r>
          </m:e>
          <m:sub>
            <m:r>
              <m:t>s</m:t>
            </m:r>
          </m:sub>
        </m:sSub>
      </m:oMath>
      <w:r>
        <w:t xml:space="preserv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 and increases with VPD, or increases with RH (Fig. 3c).</w:t>
      </w:r>
    </w:p>
    <w:p>
      <w:pPr>
        <w:pStyle w:val="CaptionedFigure"/>
      </w:pPr>
      <w:r>
        <w:drawing>
          <wp:inline>
            <wp:extent cx="5334000" cy="2749001"/>
            <wp:effectExtent b="0" l="0" r="0" t="0"/>
            <wp:docPr descr="Figure 3. Theoretical expectations for variation in T_{leaf}-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7"/>
                    <a:stretch>
                      <a:fillRect/>
                    </a:stretch>
                  </pic:blipFill>
                  <pic:spPr bwMode="auto">
                    <a:xfrm>
                      <a:off x="0" y="0"/>
                      <a:ext cx="5334000" cy="2749001"/>
                    </a:xfrm>
                    <a:prstGeom prst="rect">
                      <a:avLst/>
                    </a:prstGeom>
                    <a:noFill/>
                    <a:ln w="9525">
                      <a:noFill/>
                      <a:headEnd/>
                      <a:tailEnd/>
                    </a:ln>
                  </pic:spPr>
                </pic:pic>
              </a:graphicData>
            </a:graphic>
          </wp:inline>
        </w:drawing>
      </w:r>
    </w:p>
    <w:p>
      <w:pPr>
        <w:pStyle w:val="ImageCaption"/>
      </w:pPr>
      <w:r>
        <w:rPr>
          <w:b/>
        </w:rPr>
        <w:t xml:space="preserve">Figure 3. Theoretical expectations for variation in</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and an increase in</w:t>
      </w:r>
      <w:r>
        <w:t xml:space="preserve"> </w:t>
      </w:r>
      <m:oMath>
        <m:sSub>
          <m:e>
            <m:r>
              <m:t>T</m:t>
            </m:r>
          </m:e>
          <m:sub>
            <m:r>
              <m:t>l</m:t>
            </m:r>
            <m:r>
              <m:t>e</m:t>
            </m:r>
            <m:r>
              <m:t>a</m:t>
            </m:r>
            <m:r>
              <m:t>f</m:t>
            </m:r>
          </m:sub>
        </m:sSub>
      </m:oMath>
      <w:r>
        <w:t xml:space="preserve">.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buffered lower canopy layers</w:t>
      </w:r>
      <w:r>
        <w:t xml:space="preserve"> </w:t>
      </w:r>
      <w:r>
        <w:t xml:space="preserve">(Miller</w:t>
      </w:r>
      <w:r>
        <w:t xml:space="preserve"> </w:t>
      </w:r>
      <w:r>
        <w:rPr>
          <w:i/>
        </w:rPr>
        <w:t xml:space="preserve">et al.</w:t>
      </w:r>
      <w:r>
        <w:t xml:space="preserve">, 2021)</w:t>
      </w:r>
      <w:r>
        <w:t xml:space="preserve">. In contrast, open canopies with lower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 leaf and branch temperatures often differ substantially. For instance, exposed tropical tree bark can be much warmer than leaves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 Johnston</w:t>
      </w:r>
      <w:r>
        <w:t xml:space="preserve"> </w:t>
      </w:r>
      <w:r>
        <w:rPr>
          <w:i/>
        </w:rPr>
        <w:t xml:space="preserve">et al.</w:t>
      </w:r>
      <w:r>
        <w:t xml:space="preserve">, 2020)</w:t>
      </w:r>
      <w:r>
        <w:t xml:space="preserve">.</w:t>
      </w:r>
      <w:r>
        <w:t xml:space="preserve"> </w:t>
      </w:r>
      <w:r>
        <w:t xml:space="preserve">Thus,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 Maclean &amp; Klinges,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w:t>
      </w:r>
      <w:r>
        <w:t xml:space="preserve"> </w:t>
      </w:r>
      <w:r>
        <w:t xml:space="preserve">(Wright</w:t>
      </w:r>
      <w:r>
        <w:t xml:space="preserve"> </w:t>
      </w:r>
      <w:r>
        <w:rPr>
          <w:i/>
        </w:rPr>
        <w:t xml:space="preserve">et al.</w:t>
      </w:r>
      <w:r>
        <w:t xml:space="preserve">, 2004)</w:t>
      </w:r>
      <w:r>
        <w:t xml:space="preserve"> </w:t>
      </w:r>
      <w:r>
        <w:t xml:space="preserve">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2019a;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4"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(OSBS, 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3"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2019b;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w:t>
      </w:r>
    </w:p>
    <w:bookmarkEnd w:id="43"/>
    <w:bookmarkEnd w:id="44"/>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7"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w:t>
      </w:r>
      <w:r>
        <w:t xml:space="preserve"> </w:t>
      </w:r>
      <w:r>
        <w:rPr>
          <w:b/>
        </w:rPr>
        <w:t xml:space="preserve">???</w:t>
      </w:r>
      <w:r>
        <w:t xml:space="preserve">)</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5359644"/>
            <wp:effectExtent b="0" l="0" r="0" t="0"/>
            <wp:docPr descr="**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T_{max} or PET) of the largest versus smallest trees included in GLS model with a DBH x temperature interaction (Anderson-Teixeira et al., in review). In column (b), understory trees have more negative responses to high growing season temperatures across eight New England forests, ((???)). ISSUE # 29."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5359644"/>
                    </a:xfrm>
                    <a:prstGeom prst="rect">
                      <a:avLst/>
                    </a:prstGeom>
                    <a:noFill/>
                    <a:ln w="9525">
                      <a:noFill/>
                      <a:headEnd/>
                      <a:tailEnd/>
                    </a:ln>
                  </pic:spPr>
                </pic:pic>
              </a:graphicData>
            </a:graphic>
          </wp:inline>
        </w:drawing>
      </w:r>
    </w:p>
    <w:p>
      <w:pPr>
        <w:pStyle w:val="ImageCaption"/>
      </w:pPr>
      <w:r>
        <w:t xml:space="preserve">**Figure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w:t>
      </w:r>
      <m:oMath>
        <m:sSub>
          <m:e>
            <m:r>
              <m:t>T</m:t>
            </m:r>
          </m:e>
          <m:sub>
            <m:r>
              <m:t>m</m:t>
            </m:r>
            <m:r>
              <m:t>a</m:t>
            </m:r>
            <m:r>
              <m:t>x</m:t>
            </m:r>
          </m:sub>
        </m:sSub>
      </m:oMath>
      <w:r>
        <w:t xml:space="preserve"> </w:t>
      </w:r>
      <w:r>
        <w:t xml:space="preserve">or PET) of the largest versus smallest trees included in GLS model with a DBH x temperature interaction (Anderson-Teixeira et al., in review). In column (b), understory trees have more negative responses to high growing season temperatures across eight New England forests, (</w:t>
      </w:r>
      <w:r>
        <w:t xml:space="preserve">(</w:t>
      </w:r>
      <w:r>
        <w:rPr>
          <w:b/>
        </w:rPr>
        <w:t xml:space="preserve">???</w:t>
      </w:r>
      <w:r>
        <w:t xml:space="preserve">)</w:t>
      </w:r>
      <w:r>
        <w:t xml:space="preserve">).</w:t>
      </w:r>
      <w:r>
        <w:t xml:space="preserve"> </w:t>
      </w:r>
      <w:hyperlink r:id="rId46">
        <w:r>
          <w:rPr>
            <w:rStyle w:val="Hyperlink"/>
          </w:rPr>
          <w:t xml:space="preserve">ISSUE # 29</w:t>
        </w:r>
      </w:hyperlink>
      <w:r>
        <w:t xml:space="preserve">.</w:t>
      </w:r>
    </w:p>
    <w:bookmarkEnd w:id="47"/>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w:t>
      </w:r>
      <w:r>
        <w:t xml:space="preserve"> </w:t>
      </w:r>
      <m:oMath>
        <m: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 (Fig. 5b, Piponiot et al., accepted).</w:t>
      </w:r>
    </w:p>
    <w:p>
      <w:pPr>
        <w:pStyle w:val="CaptionedFigure"/>
      </w:pPr>
      <w:r>
        <w:drawing>
          <wp:inline>
            <wp:extent cx="5334000" cy="7111999"/>
            <wp:effectExtent b="0" l="0" r="0" t="0"/>
            <wp:docPr descr="Figure 5. Vertical partitioning of (a) evapotranspiration and (b) C fluxes in tropical forests. Panel (a) is from (Kunert et al. 2017). I’d like to create a parallel figure for C fluxes." title="" id="1" name="Picture"/>
            <a:graphic>
              <a:graphicData uri="http://schemas.openxmlformats.org/drawingml/2006/picture">
                <pic:pic>
                  <pic:nvPicPr>
                    <pic:cNvPr descr="schematics/ecosystem%20vertical%20partitioning/ecosystem%20partitioning_updated.png" id="0" name="Picture"/>
                    <pic:cNvPicPr>
                      <a:picLocks noChangeArrowheads="1" noChangeAspect="1"/>
                    </pic:cNvPicPr>
                  </pic:nvPicPr>
                  <pic:blipFill>
                    <a:blip r:embed="rId48"/>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impacts forests,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carbon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58" w:name="scaling-across-space-and-time"/>
    <w:p>
      <w:pPr>
        <w:pStyle w:val="Heading2"/>
      </w:pPr>
      <w:r>
        <w:t xml:space="preserve">Scaling across space and time</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5.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Issue #4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5"/>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r>
        <w:t xml:space="preserve"> </w:t>
      </w:r>
      <w:hyperlink r:id="rId56">
        <w:r>
          <w:rPr>
            <w:rStyle w:val="Hyperlink"/>
          </w:rPr>
          <w:t xml:space="preserve">Issue #42</w:t>
        </w:r>
      </w:hyperlink>
      <w:r>
        <w:t xml:space="preserve">.</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0"/>
    <w:bookmarkStart w:id="276" w:name="references"/>
    <w:p>
      <w:pPr>
        <w:pStyle w:val="Heading2"/>
      </w:pPr>
      <w:r>
        <w:t xml:space="preserve">References</w:t>
      </w:r>
    </w:p>
    <w:bookmarkStart w:id="275" w:name="refs"/>
    <w:bookmarkStart w:id="61"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1"/>
    <w:bookmarkStart w:id="62"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2"/>
    <w:bookmarkStart w:id="63"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3"/>
    <w:bookmarkStart w:id="64"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4"/>
    <w:bookmarkStart w:id="65"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5"/>
    <w:bookmarkStart w:id="66"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6"/>
    <w:bookmarkStart w:id="67"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7"/>
    <w:bookmarkStart w:id="68"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8"/>
    <w:bookmarkStart w:id="69"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9"/>
    <w:bookmarkStart w:id="70"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70"/>
    <w:bookmarkStart w:id="71"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1"/>
    <w:bookmarkStart w:id="72"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2"/>
    <w:bookmarkStart w:id="73"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3"/>
    <w:bookmarkStart w:id="74"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4"/>
    <w:bookmarkStart w:id="75"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5"/>
    <w:bookmarkStart w:id="76"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6"/>
    <w:bookmarkStart w:id="77"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7"/>
    <w:bookmarkStart w:id="78"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8"/>
    <w:bookmarkStart w:id="79"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79"/>
    <w:bookmarkStart w:id="80"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80"/>
    <w:bookmarkStart w:id="81"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1"/>
    <w:bookmarkStart w:id="8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2"/>
    <w:bookmarkStart w:id="83"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3"/>
    <w:bookmarkStart w:id="84"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4"/>
    <w:bookmarkStart w:id="85"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5"/>
    <w:bookmarkStart w:id="86"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6"/>
    <w:bookmarkStart w:id="87"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7"/>
    <w:bookmarkStart w:id="88"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8"/>
    <w:bookmarkStart w:id="89"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9"/>
    <w:bookmarkStart w:id="90"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90"/>
    <w:bookmarkStart w:id="91"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91"/>
    <w:bookmarkStart w:id="92"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2"/>
    <w:bookmarkStart w:id="93"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3"/>
    <w:bookmarkStart w:id="94"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4"/>
    <w:bookmarkStart w:id="95"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5"/>
    <w:bookmarkStart w:id="96"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6"/>
    <w:bookmarkStart w:id="97"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7"/>
    <w:bookmarkStart w:id="98"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98"/>
    <w:bookmarkStart w:id="99"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9"/>
    <w:bookmarkStart w:id="100"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00"/>
    <w:bookmarkStart w:id="101"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01"/>
    <w:bookmarkStart w:id="102"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02"/>
    <w:bookmarkStart w:id="103"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3"/>
    <w:bookmarkStart w:id="104"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4"/>
    <w:bookmarkStart w:id="105"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5"/>
    <w:bookmarkStart w:id="106"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6"/>
    <w:bookmarkStart w:id="107"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7"/>
    <w:bookmarkStart w:id="108"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8"/>
    <w:bookmarkStart w:id="109"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9"/>
    <w:bookmarkStart w:id="110"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10"/>
    <w:bookmarkStart w:id="111"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11"/>
    <w:bookmarkStart w:id="112"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12"/>
    <w:bookmarkStart w:id="113"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13"/>
    <w:bookmarkStart w:id="114"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14"/>
    <w:bookmarkStart w:id="115"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15"/>
    <w:bookmarkStart w:id="116"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16"/>
    <w:bookmarkStart w:id="117"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17"/>
    <w:bookmarkStart w:id="118"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18"/>
    <w:bookmarkStart w:id="119"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9"/>
    <w:bookmarkStart w:id="12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20"/>
    <w:bookmarkStart w:id="121"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21"/>
    <w:bookmarkStart w:id="12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22"/>
    <w:bookmarkStart w:id="12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23"/>
    <w:bookmarkStart w:id="12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24"/>
    <w:bookmarkStart w:id="12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25"/>
    <w:bookmarkStart w:id="12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26"/>
    <w:bookmarkStart w:id="12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27"/>
    <w:bookmarkStart w:id="12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28"/>
    <w:bookmarkStart w:id="12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9"/>
    <w:bookmarkStart w:id="13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30"/>
    <w:bookmarkStart w:id="13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31"/>
    <w:bookmarkStart w:id="132"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32"/>
    <w:bookmarkStart w:id="133"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33"/>
    <w:bookmarkStart w:id="134"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34"/>
    <w:bookmarkStart w:id="135"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35"/>
    <w:bookmarkStart w:id="136"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36"/>
    <w:bookmarkStart w:id="137"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37"/>
    <w:bookmarkStart w:id="138"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38"/>
    <w:bookmarkStart w:id="139"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39"/>
    <w:bookmarkStart w:id="140"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40"/>
    <w:bookmarkStart w:id="141"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41"/>
    <w:bookmarkStart w:id="142"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42"/>
    <w:bookmarkStart w:id="143"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43"/>
    <w:bookmarkStart w:id="144"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44"/>
    <w:bookmarkStart w:id="145"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45"/>
    <w:bookmarkStart w:id="146"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46"/>
    <w:bookmarkStart w:id="147"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47"/>
    <w:bookmarkStart w:id="148"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48"/>
    <w:bookmarkStart w:id="149"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49"/>
    <w:bookmarkStart w:id="150"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50"/>
    <w:bookmarkStart w:id="151"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51"/>
    <w:bookmarkStart w:id="152"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52"/>
    <w:bookmarkStart w:id="153"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53"/>
    <w:bookmarkStart w:id="154" w:name="X100803c3698c24d8f47d72d6048009e4b7089ab"/>
    <w:p>
      <w:pPr>
        <w:pStyle w:val="Bibliography"/>
      </w:pPr>
      <w:r>
        <w:rPr>
          <w:b w:val="0"/>
          <w:b/>
        </w:rPr>
        <w:t xml:space="preserve">Maclean IMD</w:t>
      </w:r>
      <w:r>
        <w:rPr>
          <w:b/>
        </w:rPr>
        <w:t xml:space="preserve">,</w:t>
      </w:r>
      <w:r>
        <w:rPr>
          <w:b/>
        </w:rPr>
        <w:t xml:space="preserve"> </w:t>
      </w:r>
      <w:r>
        <w:rPr>
          <w:b w:val="0"/>
          <w:b/>
        </w:rPr>
        <w:t xml:space="preserve">Klinges DH</w:t>
      </w:r>
      <w:r>
        <w:t xml:space="preserve">.</w:t>
      </w:r>
      <w:r>
        <w:t xml:space="preserve"> </w:t>
      </w:r>
      <w:r>
        <w:rPr>
          <w:b/>
        </w:rPr>
        <w:t xml:space="preserve">2021</w:t>
      </w:r>
      <w:r>
        <w:t xml:space="preserve">. Microclimc: A mechanistic model of above, below and within-canopy microclimate.</w:t>
      </w:r>
      <w:r>
        <w:t xml:space="preserve"> </w:t>
      </w:r>
      <w:r>
        <w:rPr>
          <w:i/>
        </w:rPr>
        <w:t xml:space="preserve">Ecological Modelling</w:t>
      </w:r>
      <w:r>
        <w:t xml:space="preserve"> </w:t>
      </w:r>
      <w:r>
        <w:rPr>
          <w:b/>
        </w:rPr>
        <w:t xml:space="preserve">451</w:t>
      </w:r>
      <w:r>
        <w:t xml:space="preserve">: 109567.</w:t>
      </w:r>
    </w:p>
    <w:bookmarkEnd w:id="154"/>
    <w:bookmarkStart w:id="155"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55"/>
    <w:bookmarkStart w:id="156"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56"/>
    <w:bookmarkStart w:id="157"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57"/>
    <w:bookmarkStart w:id="158"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58"/>
    <w:bookmarkStart w:id="159"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59"/>
    <w:bookmarkStart w:id="160"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0"/>
    <w:bookmarkStart w:id="161"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1"/>
    <w:bookmarkStart w:id="162"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62"/>
    <w:bookmarkStart w:id="163"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63"/>
    <w:bookmarkStart w:id="164"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64"/>
    <w:bookmarkStart w:id="165"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65"/>
    <w:bookmarkStart w:id="166"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66"/>
    <w:bookmarkStart w:id="167"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67"/>
    <w:bookmarkStart w:id="168"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68"/>
    <w:bookmarkStart w:id="169"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69"/>
    <w:bookmarkStart w:id="170"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70"/>
    <w:bookmarkStart w:id="171"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71"/>
    <w:bookmarkStart w:id="172"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72"/>
    <w:bookmarkStart w:id="173"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73"/>
    <w:bookmarkStart w:id="174"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74"/>
    <w:bookmarkStart w:id="175"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175"/>
    <w:bookmarkStart w:id="176"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76"/>
    <w:bookmarkStart w:id="177"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77"/>
    <w:bookmarkStart w:id="178"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78"/>
    <w:bookmarkStart w:id="179"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179"/>
    <w:bookmarkStart w:id="180"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80"/>
    <w:bookmarkStart w:id="181"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81"/>
    <w:bookmarkStart w:id="182"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82"/>
    <w:bookmarkStart w:id="183"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83"/>
    <w:bookmarkStart w:id="184"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84"/>
    <w:bookmarkStart w:id="185"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185"/>
    <w:bookmarkStart w:id="186"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86"/>
    <w:bookmarkStart w:id="187"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87"/>
    <w:bookmarkStart w:id="188"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88"/>
    <w:bookmarkStart w:id="189"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89"/>
    <w:bookmarkStart w:id="190"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90"/>
    <w:bookmarkStart w:id="191"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91"/>
    <w:bookmarkStart w:id="192"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92"/>
    <w:bookmarkStart w:id="193"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93"/>
    <w:bookmarkStart w:id="194"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94"/>
    <w:bookmarkStart w:id="195"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95"/>
    <w:bookmarkStart w:id="196"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96"/>
    <w:bookmarkStart w:id="197"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97"/>
    <w:bookmarkStart w:id="198"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98"/>
    <w:bookmarkStart w:id="199"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99"/>
    <w:bookmarkStart w:id="200"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200"/>
    <w:bookmarkStart w:id="201"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01"/>
    <w:bookmarkStart w:id="202"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02"/>
    <w:bookmarkStart w:id="203"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03"/>
    <w:bookmarkStart w:id="204"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04"/>
    <w:bookmarkStart w:id="205"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05"/>
    <w:bookmarkStart w:id="206"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06"/>
    <w:bookmarkStart w:id="207"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07"/>
    <w:bookmarkStart w:id="208"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08"/>
    <w:bookmarkStart w:id="209"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209"/>
    <w:bookmarkStart w:id="210"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10"/>
    <w:bookmarkStart w:id="211"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11"/>
    <w:bookmarkStart w:id="212"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12"/>
    <w:bookmarkStart w:id="213"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13"/>
    <w:bookmarkStart w:id="21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14"/>
    <w:bookmarkStart w:id="215"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15"/>
    <w:bookmarkStart w:id="216"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16"/>
    <w:bookmarkStart w:id="217"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17"/>
    <w:bookmarkStart w:id="218"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18"/>
    <w:bookmarkStart w:id="219"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19"/>
    <w:bookmarkStart w:id="220"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20"/>
    <w:bookmarkStart w:id="221"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21"/>
    <w:bookmarkStart w:id="222"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22"/>
    <w:bookmarkStart w:id="223"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23"/>
    <w:bookmarkStart w:id="224"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24"/>
    <w:bookmarkStart w:id="225"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25"/>
    <w:bookmarkStart w:id="226"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26"/>
    <w:bookmarkStart w:id="227"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27"/>
    <w:bookmarkStart w:id="228"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28"/>
    <w:bookmarkStart w:id="229"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29"/>
    <w:bookmarkStart w:id="230"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30"/>
    <w:bookmarkStart w:id="231"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31"/>
    <w:bookmarkStart w:id="232"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32"/>
    <w:bookmarkStart w:id="233"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33"/>
    <w:bookmarkStart w:id="234"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34"/>
    <w:bookmarkStart w:id="235"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35"/>
    <w:bookmarkStart w:id="236"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36"/>
    <w:bookmarkStart w:id="237"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37"/>
    <w:bookmarkStart w:id="238"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38"/>
    <w:bookmarkStart w:id="239"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39"/>
    <w:bookmarkStart w:id="240"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0"/>
    <w:bookmarkStart w:id="241"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1"/>
    <w:bookmarkStart w:id="242"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42"/>
    <w:bookmarkStart w:id="243"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43"/>
    <w:bookmarkStart w:id="244"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44"/>
    <w:bookmarkStart w:id="245"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2019a</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5"/>
    <w:bookmarkStart w:id="246"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2019b</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6"/>
    <w:bookmarkStart w:id="247"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47"/>
    <w:bookmarkStart w:id="248"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48"/>
    <w:bookmarkStart w:id="24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49"/>
    <w:bookmarkStart w:id="250"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50"/>
    <w:bookmarkStart w:id="251"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51"/>
    <w:bookmarkStart w:id="252"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52"/>
    <w:bookmarkStart w:id="25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53"/>
    <w:bookmarkStart w:id="25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54"/>
    <w:bookmarkStart w:id="25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55"/>
    <w:bookmarkStart w:id="256"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56"/>
    <w:bookmarkStart w:id="25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57"/>
    <w:bookmarkStart w:id="25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58"/>
    <w:bookmarkStart w:id="25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59"/>
    <w:bookmarkStart w:id="26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60"/>
    <w:bookmarkStart w:id="261"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61"/>
    <w:bookmarkStart w:id="262"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262"/>
    <w:bookmarkStart w:id="263"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63"/>
    <w:bookmarkStart w:id="264"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64"/>
    <w:bookmarkStart w:id="26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65"/>
    <w:bookmarkStart w:id="26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66"/>
    <w:bookmarkStart w:id="26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67"/>
    <w:bookmarkStart w:id="26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68"/>
    <w:bookmarkStart w:id="26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69"/>
    <w:bookmarkStart w:id="270"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70"/>
    <w:bookmarkStart w:id="271"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71"/>
    <w:bookmarkStart w:id="272"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72"/>
    <w:bookmarkStart w:id="27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73"/>
    <w:bookmarkStart w:id="27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74"/>
    <w:bookmarkEnd w:id="275"/>
    <w:bookmarkEnd w:id="276"/>
    <w:bookmarkEnd w:id="2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oClimLab/vertical-thermal-review/issues/27" TargetMode="External" /><Relationship Type="http://schemas.openxmlformats.org/officeDocument/2006/relationships/hyperlink" Id="rId46"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2021-08-09T00:20:36Z</dcterms:created>
  <dcterms:modified xsi:type="dcterms:W3CDTF">2021-08-09T00:20:36Z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